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47" w:type="dxa"/>
        <w:tblInd w:w="0" w:type="dxa"/>
        <w:tblLayout w:type="autofit"/>
        <w:tblCellMar>
          <w:top w:w="0" w:type="dxa"/>
          <w:left w:w="108" w:type="dxa"/>
          <w:bottom w:w="0" w:type="dxa"/>
          <w:right w:w="108" w:type="dxa"/>
        </w:tblCellMar>
      </w:tblPr>
      <w:tblGrid>
        <w:gridCol w:w="4503"/>
        <w:gridCol w:w="5244"/>
      </w:tblGrid>
      <w:tr>
        <w:tblPrEx>
          <w:tblCellMar>
            <w:top w:w="0" w:type="dxa"/>
            <w:left w:w="108" w:type="dxa"/>
            <w:bottom w:w="0" w:type="dxa"/>
            <w:right w:w="108" w:type="dxa"/>
          </w:tblCellMar>
        </w:tblPrEx>
        <w:tc>
          <w:tcPr>
            <w:tcW w:w="4503" w:type="dxa"/>
            <w:shd w:val="clear" w:color="auto" w:fill="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CHI CỤC HÀNG HẢI VN TẠI TP.HCM</w:t>
            </w:r>
          </w:p>
        </w:tc>
        <w:tc>
          <w:tcPr>
            <w:tcW w:w="5244" w:type="dxa"/>
            <w:shd w:val="clear" w:color="auto" w:fill="auto"/>
          </w:tcPr>
          <w:p>
            <w:pPr>
              <w:spacing w:after="0" w:line="36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tc>
      </w:tr>
      <w:tr>
        <w:tblPrEx>
          <w:tblCellMar>
            <w:top w:w="0" w:type="dxa"/>
            <w:left w:w="108" w:type="dxa"/>
            <w:bottom w:w="0" w:type="dxa"/>
            <w:right w:w="108" w:type="dxa"/>
          </w:tblCellMar>
        </w:tblPrEx>
        <w:tc>
          <w:tcPr>
            <w:tcW w:w="4503" w:type="dxa"/>
            <w:shd w:val="clear" w:color="auto" w:fill="auto"/>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232410</wp:posOffset>
                      </wp:positionV>
                      <wp:extent cx="1657350" cy="0"/>
                      <wp:effectExtent l="9525" t="13335" r="9525" b="5715"/>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7.5pt;margin-top:18.3pt;height:0pt;width:130.5pt;z-index:251659264;mso-width-relative:page;mso-height-relative:page;" filled="f" stroked="t" coordsize="21600,21600" o:gfxdata="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8YGpTWAAAACAEAAA8AAAAAAAAAAQAgAAAAIgAAAGRycy9kb3ducmV2LnhtbFBL&#10;AQIUABQAAAAIAIdO4kCGJgSJvwEAAHM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b/>
                <w:sz w:val="24"/>
                <w:szCs w:val="24"/>
              </w:rPr>
              <w:t>PHÒNG NGHIỆP VỤ HÀNG HẢI</w:t>
            </w:r>
          </w:p>
        </w:tc>
        <w:tc>
          <w:tcPr>
            <w:tcW w:w="5244" w:type="dxa"/>
            <w:shd w:val="clear" w:color="auto" w:fill="auto"/>
          </w:tcPr>
          <w:p>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769620</wp:posOffset>
                      </wp:positionH>
                      <wp:positionV relativeFrom="paragraph">
                        <wp:posOffset>232410</wp:posOffset>
                      </wp:positionV>
                      <wp:extent cx="1657350" cy="0"/>
                      <wp:effectExtent l="7620" t="13335" r="11430" b="5715"/>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0.6pt;margin-top:18.3pt;height:0pt;width:130.5pt;z-index:251660288;mso-width-relative:page;mso-height-relative:page;" filled="f" stroked="t" coordsize="21600,21600" o:gfxdata="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POcm1QAAAAkBAAAPAAAAAAAAAAEAIAAAACIAAABkcnMvZG93bnJldi54bWxQSwEC&#10;FAAUAAAACACHTuJAcHMxCb4BAABzAwAADgAAAAAAAAABACAAAAAkAQAAZHJzL2Uyb0RvYy54bWxQ&#10;SwUGAAAAAAYABgBZAQAAVAUAAAAA&#10;">
                      <v:fill on="f" focussize="0,0"/>
                      <v:stroke color="#000000" joinstyle="round"/>
                      <v:imagedata o:title=""/>
                      <o:lock v:ext="edit" aspectratio="f"/>
                    </v:shape>
                  </w:pict>
                </mc:Fallback>
              </mc:AlternateContent>
            </w:r>
            <w:r>
              <w:rPr>
                <w:rFonts w:ascii="Times New Roman" w:hAnsi="Times New Roman" w:cs="Times New Roman"/>
                <w:b/>
                <w:sz w:val="24"/>
                <w:szCs w:val="24"/>
              </w:rPr>
              <w:t>Độc lập - Tự do - Hạnh phúc</w:t>
            </w:r>
          </w:p>
        </w:tc>
      </w:tr>
    </w:tbl>
    <w:p>
      <w:pPr>
        <w:rPr>
          <w:rFonts w:ascii="Times New Roman" w:hAnsi="Times New Roman" w:cs="Times New Roman"/>
          <w:sz w:val="24"/>
          <w:szCs w:val="24"/>
        </w:rPr>
      </w:pPr>
    </w:p>
    <w:p>
      <w:pPr>
        <w:tabs>
          <w:tab w:val="center" w:pos="1843"/>
          <w:tab w:val="center" w:pos="7371"/>
        </w:tabs>
        <w:spacing w:after="0"/>
        <w:jc w:val="center"/>
        <w:rPr>
          <w:rFonts w:ascii="Times New Roman" w:hAnsi="Times New Roman" w:cs="Times New Roman"/>
          <w:b/>
          <w:sz w:val="26"/>
          <w:szCs w:val="26"/>
        </w:rPr>
      </w:pPr>
      <w:r>
        <w:rPr>
          <w:rFonts w:ascii="Times New Roman" w:hAnsi="Times New Roman" w:cs="Times New Roman"/>
          <w:b/>
          <w:sz w:val="26"/>
          <w:szCs w:val="26"/>
        </w:rPr>
        <w:t>THỦ TỤC</w:t>
      </w:r>
    </w:p>
    <w:p>
      <w:pPr>
        <w:jc w:val="center"/>
        <w:rPr>
          <w:rFonts w:ascii="Times New Roman" w:hAnsi="Times New Roman" w:cs="Times New Roman"/>
          <w:b/>
          <w:sz w:val="26"/>
          <w:szCs w:val="26"/>
        </w:rPr>
      </w:pPr>
      <w:r>
        <w:rPr>
          <w:rFonts w:ascii="Times New Roman" w:hAnsi="Times New Roman" w:cs="Times New Roman"/>
          <w:b/>
          <w:sz w:val="26"/>
          <w:szCs w:val="26"/>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260350</wp:posOffset>
                </wp:positionV>
                <wp:extent cx="1657350" cy="0"/>
                <wp:effectExtent l="0" t="0" r="19050" b="19050"/>
                <wp:wrapNone/>
                <wp:docPr id="3" name="Straight Arrow Connector 3"/>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74.75pt;margin-top:20.5pt;height:0pt;width:130.5pt;z-index:251662336;mso-width-relative:page;mso-height-relative:page;" filled="f" stroked="t" coordsize="21600,21600" o:gfxdata="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4KvMrWAAAACQEAAA8AAAAAAAAAAQAgAAAAIgAAAGRycy9kb3ducmV2LnhtbFBL&#10;AQIUABQAAAAIAIdO4kDrFzhAvwEAAHM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b/>
          <w:sz w:val="26"/>
          <w:szCs w:val="26"/>
        </w:rPr>
        <w:t xml:space="preserve"> Cấp lại Giấy chứng nhận đăng ký tàu biển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1. Trình tự thực hiện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 Nộp hồ sơ TTHC</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Tổ chức, cá nhân gửi hồ sơ đề nghị cấp lại Giấy chứng nhận đăng ký tàu biển (hoặc tàu công vụ, tàu ngầm, tàu lặn, kho chứa nổi và giàn di động) đến Chi cục Hàng hải Việt Nam tại Tp.HCM.</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 Giải quyết TTHC</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Cơ quan đăng ký tàu biển tiếp nhận hồ sơ, thực hiện theo quy trình sau:</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Trường hợp nhận hồ sơ qua đường bưu chính, nếu hồ sơ không hợp lệ, chậm nhất 02 ngày làm việc, kể từ ngày nhận hồ sơ, cơ quan đăng ký tàu biển hướng dẫn hoàn thiện hồ sơ theo quy định;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Chậm nhất 02 ngày làm việc, kể từ ngày nhận đủ hồ sơ hợp lệ, cơ quan đăng ký tàu biển cấp giấy chứng nhận đăng ký tàu biển và trả trực tiếp hoặc gửi qua hệ thống bưu chính; đồng thời, gửi văn bản thông báo việc cấp lại cho bên nhận thế chấp trong trường hợp tàu đang thế chấp; trường hợp không cấp giấy chứng nhận phải trả lời bằng văn bản nêu rõ lý do.</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Trường hợp cấp lại: giấy chứng nhận đăng ký tàu biển bị mất, bị rách nát, hư hỏng.</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2. Cách thực thực hiện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Tổ chức, cá nhân nộp trực tiếp hoặc gửi qua hệ thống bưu chính hoặc bằng các hình thức phù hợp khác.</w:t>
      </w:r>
    </w:p>
    <w:p>
      <w:pPr>
        <w:shd w:val="clear" w:color="auto" w:fill="FFFFFF"/>
        <w:spacing w:after="0" w:line="360" w:lineRule="auto"/>
        <w:jc w:val="both"/>
        <w:rPr>
          <w:rFonts w:hint="default" w:ascii="Times New Roman" w:hAnsi="Times New Roman" w:eastAsia="Times New Roman" w:cs="Times New Roman"/>
          <w:color w:val="333333"/>
          <w:sz w:val="24"/>
          <w:szCs w:val="24"/>
          <w:lang w:val="en-US"/>
        </w:rPr>
      </w:pPr>
      <w:r>
        <w:rPr>
          <w:rFonts w:ascii="Times New Roman" w:hAnsi="Times New Roman" w:eastAsia="Times New Roman" w:cs="Times New Roman"/>
          <w:b/>
          <w:bCs/>
          <w:color w:val="333333"/>
          <w:sz w:val="24"/>
          <w:szCs w:val="24"/>
        </w:rPr>
        <w:t>3. Thành phần, số lượng hồ sơ</w:t>
      </w:r>
      <w:r>
        <w:rPr>
          <w:rFonts w:hint="default" w:ascii="Times New Roman" w:hAnsi="Times New Roman" w:eastAsia="Times New Roman" w:cs="Times New Roman"/>
          <w:b/>
          <w:bCs/>
          <w:color w:val="333333"/>
          <w:sz w:val="24"/>
          <w:szCs w:val="24"/>
          <w:lang w:val="en-US"/>
        </w:rPr>
        <w:t xml:space="preserve">: </w:t>
      </w:r>
      <w:r>
        <w:rPr>
          <w:rFonts w:ascii="Times New Roman" w:hAnsi="Times New Roman" w:eastAsia="Times New Roman" w:cs="Times New Roman"/>
          <w:b/>
          <w:color w:val="333333"/>
          <w:sz w:val="24"/>
          <w:szCs w:val="24"/>
        </w:rPr>
        <w:t>Số lượng hồ sơ là 01 (một) bộ</w:t>
      </w:r>
      <w:r>
        <w:rPr>
          <w:rFonts w:ascii="Times New Roman" w:hAnsi="Times New Roman" w:eastAsia="Times New Roman" w:cs="Times New Roman"/>
          <w:color w:val="333333"/>
          <w:sz w:val="24"/>
          <w:szCs w:val="24"/>
        </w:rPr>
        <w:t>.</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Thành phần hồ sơ: </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Tờ khai cấp lại giấy chứng nhận đăng ký tàu biển theo mẫu </w:t>
      </w:r>
      <w:r>
        <w:rPr>
          <w:rFonts w:ascii="Times New Roman" w:hAnsi="Times New Roman" w:eastAsia="Times New Roman" w:cs="Times New Roman"/>
          <w:b/>
          <w:color w:val="333333"/>
          <w:sz w:val="24"/>
          <w:szCs w:val="24"/>
        </w:rPr>
        <w:t>(bản chính)</w:t>
      </w:r>
      <w:r>
        <w:rPr>
          <w:rFonts w:ascii="Times New Roman" w:hAnsi="Times New Roman" w:eastAsia="Times New Roman" w:cs="Times New Roman"/>
          <w:color w:val="333333"/>
          <w:sz w:val="24"/>
          <w:szCs w:val="24"/>
        </w:rPr>
        <w:t>;</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Giấy chứng nhận đăng ký tàu biển đối với trường hợp bị rách nát, hư hỏng; trường hợp tàu đang hoạt động trên biển hoặc đang ở nước ngoài thì có thể sử dụng </w:t>
      </w:r>
      <w:r>
        <w:rPr>
          <w:rFonts w:ascii="Times New Roman" w:hAnsi="Times New Roman" w:eastAsia="Times New Roman" w:cs="Times New Roman"/>
          <w:b/>
          <w:color w:val="333333"/>
          <w:sz w:val="24"/>
          <w:szCs w:val="24"/>
        </w:rPr>
        <w:t>bản sao</w:t>
      </w:r>
      <w:r>
        <w:rPr>
          <w:rFonts w:ascii="Times New Roman" w:hAnsi="Times New Roman" w:eastAsia="Times New Roman" w:cs="Times New Roman"/>
          <w:color w:val="333333"/>
          <w:sz w:val="24"/>
          <w:szCs w:val="24"/>
        </w:rPr>
        <w:t xml:space="preserve"> giấy chứng nhận đăng ký nhưng chủ tàu phải cam kết và nộp bản gốc trong vòng 30 ngày kể từ ngày giấy chứng nhận đăng ký mới được cấp.</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 xml:space="preserve">4. Thời hạn giải quyết: </w:t>
      </w:r>
      <w:r>
        <w:rPr>
          <w:rFonts w:ascii="Times New Roman" w:hAnsi="Times New Roman" w:eastAsia="Times New Roman" w:cs="Times New Roman"/>
          <w:color w:val="333333"/>
          <w:sz w:val="24"/>
          <w:szCs w:val="24"/>
        </w:rPr>
        <w:t>Chậm nhất 02 ngày làm việc, kể từ ngày nhận đủ hồ sơ hợp lệ.</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 xml:space="preserve">5. Đối tượng thực hiện: </w:t>
      </w:r>
      <w:r>
        <w:rPr>
          <w:rFonts w:ascii="Times New Roman" w:hAnsi="Times New Roman" w:eastAsia="Times New Roman" w:cs="Times New Roman"/>
          <w:color w:val="333333"/>
          <w:sz w:val="24"/>
          <w:szCs w:val="24"/>
        </w:rPr>
        <w:t>Tổ chức, cá nhân.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6. Cơ quan thực hiện TTHC</w:t>
      </w:r>
      <w:r>
        <w:rPr>
          <w:rFonts w:ascii="Times New Roman" w:hAnsi="Times New Roman" w:eastAsia="Times New Roman" w:cs="Times New Roman"/>
          <w:color w:val="333333"/>
          <w:sz w:val="24"/>
          <w:szCs w:val="24"/>
        </w:rPr>
        <w:t>:</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 Cơ quan trực tiếp thực hiện TTHC: Chi cục Hàng hải Việt Nam tại Tp.HCM;</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 Cơ quan phối hợp: Không có.</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7. Kết quả của việc thực hiện TTHC:</w:t>
      </w:r>
      <w:r>
        <w:rPr>
          <w:rFonts w:ascii="Times New Roman" w:hAnsi="Times New Roman" w:eastAsia="Times New Roman" w:cs="Times New Roman"/>
          <w:color w:val="333333"/>
          <w:sz w:val="24"/>
          <w:szCs w:val="24"/>
        </w:rPr>
        <w:t xml:space="preserve"> Giấy chứng nhận đăng ký tàu biển.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8. Phí, lệ phí:</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Lệ phí: 10% của mức thu đăng ký không thời hạn.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Mức thu đăng ký không thời hạn: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Đối với tàu có tổng dung tích đăng ký dưới 500 GT là 3.000 đồng/GT-lần (mức thu tối thiểu không dưới 300.000 đồng);</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Đối với tàu có dung tích đăng ký từ 500 đến dưới 1.600 GT là 2.500 đồng/GT-lần;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Đối với tàu có dung tích đăng ký từ 1.600 đến dưới 3.000 GT là 2.000 đồng/GT-lần;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Đối với tàu có dung tích đăng ký từ 3.000 GT trở lên là 1.500 đồng/GT- lần.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Chủ tàu nộp lệ phí cấp lại giấy chứng nhận đăng ký tàu biển trực tiếp hoặc chuyển vào tài khoản của Cơ quan đăng ký tàu biển trước khi nhận kết quả; chịu toàn bộ chi phí gửi hồ sơ, văn bản và các chi phí liên quan đến chuyển khoản; đồng thời thông báo việc cấp lại cho bên nhận thế chấp trong trường hợp tàu đang thế chấp.</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9. Tên mẫu đơn, mẫu tờ khai hành chính: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Tờ khai cấp lại giấy chứng nhận đăng ký tàu biển;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Giấy chứng nhận đăng ký.</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10. Yêu cầu, điều kiện thực hiện TTHC</w:t>
      </w:r>
      <w:r>
        <w:rPr>
          <w:rFonts w:ascii="Times New Roman" w:hAnsi="Times New Roman" w:eastAsia="Times New Roman" w:cs="Times New Roman"/>
          <w:color w:val="333333"/>
          <w:sz w:val="24"/>
          <w:szCs w:val="24"/>
        </w:rPr>
        <w:t>: Không có.</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11. Căn cứ pháp lý:</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Nghị định 171/2016/NĐ-CP ngày 27/12/2016 của Chính phủ về đăng ký, xóa đăng ký và mua, bán, đóng mới tàu biển;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Nghị định số 86/2020/NĐ-CP ngày 23/7/2020 của Chính phủ sửa đổi, bổ sung một số điều của của Nghị định số 171/2016/NĐ-CP </w:t>
      </w:r>
    </w:p>
    <w:p>
      <w:pPr>
        <w:shd w:val="clear" w:color="auto" w:fill="FFFFFF"/>
        <w:spacing w:after="0" w:line="360" w:lineRule="auto"/>
        <w:jc w:val="both"/>
        <w:rPr>
          <w:rFonts w:ascii="Times New Roman" w:hAnsi="Times New Roman" w:eastAsia="Times New Roman" w:cs="Times New Roman"/>
          <w:color w:val="333333"/>
          <w:sz w:val="24"/>
          <w:szCs w:val="24"/>
        </w:rPr>
      </w:pPr>
      <w:bookmarkStart w:id="0" w:name="_GoBack"/>
      <w:bookmarkEnd w:id="0"/>
      <w:r>
        <w:rPr>
          <w:rFonts w:ascii="Times New Roman" w:hAnsi="Times New Roman" w:eastAsia="Times New Roman" w:cs="Times New Roman"/>
          <w:color w:val="333333"/>
          <w:sz w:val="24"/>
          <w:szCs w:val="24"/>
        </w:rPr>
        <w:t>- Thông tư 189/2016/TT-BTC ngày 08/11/2016 của Bộ trưởng Bộ Tài chính quy định mức thu, chế độ thu, nộp, quản lý và sử dụng phí, lệ phí trong hoạt động chuyên ngành hàng hải.</w:t>
      </w:r>
    </w:p>
    <w:p>
      <w:pPr>
        <w:rPr>
          <w:rFonts w:ascii="Times New Roman" w:hAnsi="Times New Roman" w:eastAsia="Times New Roman" w:cs="Times New Roman"/>
          <w:sz w:val="24"/>
          <w:szCs w:val="24"/>
        </w:rPr>
      </w:pPr>
    </w:p>
    <w:p>
      <w:pPr>
        <w:tabs>
          <w:tab w:val="left" w:pos="3315"/>
        </w:tabs>
        <w:jc w:val="center"/>
        <w:rPr>
          <w:rFonts w:ascii="Times New Roman" w:hAnsi="Times New Roman" w:eastAsia="Times New Roman" w:cs="Times New Roman"/>
          <w:b/>
          <w:sz w:val="120"/>
          <w:szCs w:val="120"/>
        </w:rPr>
      </w:pPr>
      <w:r>
        <w:rPr>
          <w:rFonts w:ascii="Times New Roman" w:hAnsi="Times New Roman" w:eastAsia="Times New Roman" w:cs="Times New Roman"/>
          <w:b/>
          <w:sz w:val="120"/>
          <w:szCs w:val="120"/>
        </w:rPr>
        <w:t>08</w:t>
      </w:r>
    </w:p>
    <w:sectPr>
      <w:pgSz w:w="12240" w:h="15840"/>
      <w:pgMar w:top="1134" w:right="1134" w:bottom="851"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8D"/>
    <w:rsid w:val="000D6742"/>
    <w:rsid w:val="00176AAC"/>
    <w:rsid w:val="0036464B"/>
    <w:rsid w:val="00400B30"/>
    <w:rsid w:val="00B92F07"/>
    <w:rsid w:val="00CE188D"/>
    <w:rsid w:val="00F16C23"/>
    <w:rsid w:val="05A60626"/>
    <w:rsid w:val="6F197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Truong</Company>
  <Pages>2</Pages>
  <Words>557</Words>
  <Characters>3178</Characters>
  <Lines>26</Lines>
  <Paragraphs>7</Paragraphs>
  <TotalTime>0</TotalTime>
  <ScaleCrop>false</ScaleCrop>
  <LinksUpToDate>false</LinksUpToDate>
  <CharactersWithSpaces>3728</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2020-10-23T03:20:00Z</dcterms:created>
  <dc:creator>Administrator</dc:creator>
  <cp:lastModifiedBy>google1598498122</cp:lastModifiedBy>
  <dcterms:modified xsi:type="dcterms:W3CDTF">2020-10-28T03:19:03Z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